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D1" w:rsidRDefault="008232CB" w:rsidP="00F0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D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деятельности  модельных библиотек  </w:t>
      </w:r>
    </w:p>
    <w:p w:rsidR="008232CB" w:rsidRDefault="008232CB" w:rsidP="00F0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D1">
        <w:rPr>
          <w:rFonts w:ascii="Times New Roman" w:hAnsi="Times New Roman" w:cs="Times New Roman"/>
          <w:b/>
          <w:sz w:val="24"/>
          <w:szCs w:val="24"/>
        </w:rPr>
        <w:t>Национального проекта «Культура»</w:t>
      </w:r>
    </w:p>
    <w:p w:rsidR="00436CD1" w:rsidRPr="00436CD1" w:rsidRDefault="00436CD1" w:rsidP="00436C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88" w:rsidRPr="00436CD1" w:rsidRDefault="008232CB" w:rsidP="00F0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D1">
        <w:rPr>
          <w:rFonts w:ascii="Times New Roman" w:hAnsi="Times New Roman" w:cs="Times New Roman"/>
          <w:b/>
          <w:sz w:val="24"/>
          <w:szCs w:val="24"/>
        </w:rPr>
        <w:t xml:space="preserve">Детская библиотека имени Н. Островского </w:t>
      </w:r>
      <w:proofErr w:type="gramStart"/>
      <w:r w:rsidRPr="00436CD1">
        <w:rPr>
          <w:rFonts w:ascii="Times New Roman" w:hAnsi="Times New Roman" w:cs="Times New Roman"/>
          <w:b/>
          <w:sz w:val="24"/>
          <w:szCs w:val="24"/>
        </w:rPr>
        <w:t>–</w:t>
      </w:r>
      <w:r w:rsidR="00436CD1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436CD1">
        <w:rPr>
          <w:rFonts w:ascii="Times New Roman" w:hAnsi="Times New Roman" w:cs="Times New Roman"/>
          <w:b/>
          <w:sz w:val="24"/>
          <w:szCs w:val="24"/>
        </w:rPr>
        <w:t>илиал №1 МБУК ЦБС г. Таганрога</w:t>
      </w:r>
    </w:p>
    <w:p w:rsidR="00F078D8" w:rsidRPr="00436CD1" w:rsidRDefault="00F078D8" w:rsidP="00F078D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279" w:rsidRPr="00436CD1" w:rsidRDefault="00131598" w:rsidP="00F078D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CD1">
        <w:rPr>
          <w:rFonts w:ascii="Times New Roman" w:hAnsi="Times New Roman" w:cs="Times New Roman"/>
          <w:sz w:val="24"/>
          <w:szCs w:val="24"/>
        </w:rPr>
        <w:t>Детская библиотека имени Н. Островского  - одна из старейших в г.</w:t>
      </w:r>
      <w:r w:rsidR="00B250F3" w:rsidRPr="00436CD1">
        <w:rPr>
          <w:rFonts w:ascii="Times New Roman" w:hAnsi="Times New Roman" w:cs="Times New Roman"/>
          <w:sz w:val="24"/>
          <w:szCs w:val="24"/>
        </w:rPr>
        <w:t xml:space="preserve"> </w:t>
      </w:r>
      <w:r w:rsidRPr="00436CD1">
        <w:rPr>
          <w:rFonts w:ascii="Times New Roman" w:hAnsi="Times New Roman" w:cs="Times New Roman"/>
          <w:sz w:val="24"/>
          <w:szCs w:val="24"/>
        </w:rPr>
        <w:t xml:space="preserve">Таганроге. Проведенная в 2020 г. модернизация позволила превратить ее в современное, открытое,  комфортное  пространство. Работа </w:t>
      </w:r>
      <w:r w:rsidR="00E66F9B" w:rsidRPr="00436CD1">
        <w:rPr>
          <w:rFonts w:ascii="Times New Roman" w:hAnsi="Times New Roman" w:cs="Times New Roman"/>
          <w:sz w:val="24"/>
          <w:szCs w:val="24"/>
        </w:rPr>
        <w:t>в статусе модельной библиотеки  в течение трех лет</w:t>
      </w:r>
      <w:r w:rsidRPr="00436CD1">
        <w:rPr>
          <w:rFonts w:ascii="Times New Roman" w:hAnsi="Times New Roman" w:cs="Times New Roman"/>
          <w:sz w:val="24"/>
          <w:szCs w:val="24"/>
        </w:rPr>
        <w:t xml:space="preserve">  убедительно демонстрирует, что реализация концепции  модернизации «От творчества чтени</w:t>
      </w:r>
      <w:r w:rsidR="00E66F9B" w:rsidRPr="00436CD1">
        <w:rPr>
          <w:rFonts w:ascii="Times New Roman" w:hAnsi="Times New Roman" w:cs="Times New Roman"/>
          <w:sz w:val="24"/>
          <w:szCs w:val="24"/>
        </w:rPr>
        <w:t xml:space="preserve">я к творчеству жизни» </w:t>
      </w:r>
      <w:r w:rsidRPr="00436CD1">
        <w:rPr>
          <w:rFonts w:ascii="Times New Roman" w:hAnsi="Times New Roman" w:cs="Times New Roman"/>
          <w:sz w:val="24"/>
          <w:szCs w:val="24"/>
        </w:rPr>
        <w:t xml:space="preserve"> полностью оправдала ожидания жителей. </w:t>
      </w:r>
    </w:p>
    <w:p w:rsidR="00436CD1" w:rsidRPr="003A0723" w:rsidRDefault="007A6B4C" w:rsidP="003A07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C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A24279" w:rsidRPr="00436C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Анализ основных статистических показателей первой модельной детской библиотеки</w:t>
      </w:r>
      <w:r w:rsidR="00436CD1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A24279" w:rsidRPr="00436CD1">
        <w:rPr>
          <w:rFonts w:ascii="Times New Roman" w:hAnsi="Times New Roman" w:cs="Times New Roman"/>
          <w:sz w:val="24"/>
          <w:szCs w:val="24"/>
        </w:rPr>
        <w:t xml:space="preserve">Н. Островского – филиал №1 г. Таганрога </w:t>
      </w:r>
      <w:r w:rsidR="00A24279" w:rsidRPr="00436CD1">
        <w:rPr>
          <w:rFonts w:ascii="Times New Roman" w:hAnsi="Times New Roman" w:cs="Times New Roman"/>
          <w:b/>
          <w:sz w:val="24"/>
          <w:szCs w:val="24"/>
        </w:rPr>
        <w:t>за период  с 2020</w:t>
      </w:r>
      <w:r w:rsidR="00436CD1">
        <w:rPr>
          <w:rFonts w:ascii="Times New Roman" w:hAnsi="Times New Roman" w:cs="Times New Roman"/>
          <w:b/>
          <w:sz w:val="24"/>
          <w:szCs w:val="24"/>
        </w:rPr>
        <w:t xml:space="preserve"> г. (до модернизации) по 2023г.</w:t>
      </w:r>
      <w:r w:rsidR="00436CD1">
        <w:rPr>
          <w:rFonts w:ascii="Times New Roman" w:hAnsi="Times New Roman" w:cs="Times New Roman"/>
          <w:sz w:val="24"/>
          <w:szCs w:val="24"/>
        </w:rPr>
        <w:t xml:space="preserve"> </w:t>
      </w:r>
      <w:r w:rsidR="00A24279" w:rsidRPr="00436CD1">
        <w:rPr>
          <w:rFonts w:ascii="Times New Roman" w:hAnsi="Times New Roman" w:cs="Times New Roman"/>
          <w:sz w:val="24"/>
          <w:szCs w:val="24"/>
        </w:rPr>
        <w:t>включительно</w:t>
      </w:r>
      <w:r w:rsidR="00A24279" w:rsidRPr="004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79" w:rsidRPr="00436CD1">
        <w:rPr>
          <w:rFonts w:ascii="Times New Roman" w:hAnsi="Times New Roman" w:cs="Times New Roman"/>
          <w:sz w:val="24"/>
          <w:szCs w:val="24"/>
        </w:rPr>
        <w:t xml:space="preserve"> наглядно подтверждает ее востребованность и </w:t>
      </w:r>
      <w:r w:rsidR="00436CD1">
        <w:rPr>
          <w:rFonts w:ascii="Times New Roman" w:hAnsi="Times New Roman" w:cs="Times New Roman"/>
          <w:sz w:val="24"/>
          <w:szCs w:val="24"/>
        </w:rPr>
        <w:t xml:space="preserve">качество предоставляемых услуг,  </w:t>
      </w:r>
      <w:r w:rsidR="00A24279" w:rsidRPr="00436C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показывает положительную динамику роста, особенно в массовой работе</w:t>
      </w:r>
      <w:proofErr w:type="gramStart"/>
      <w:r w:rsidR="00A24279" w:rsidRPr="00436C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A24279" w:rsidRPr="00436CD1">
        <w:rPr>
          <w:sz w:val="24"/>
          <w:szCs w:val="24"/>
        </w:rPr>
        <w:t xml:space="preserve"> </w:t>
      </w:r>
      <w:r w:rsidR="004E050B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3A0723" w:rsidRPr="003A0723">
        <w:rPr>
          <w:rFonts w:ascii="Times New Roman" w:hAnsi="Times New Roman" w:cs="Times New Roman"/>
          <w:sz w:val="24"/>
          <w:szCs w:val="24"/>
        </w:rPr>
        <w:t xml:space="preserve"> </w:t>
      </w:r>
      <w:r w:rsidR="003A0723" w:rsidRPr="003A0723">
        <w:rPr>
          <w:rFonts w:ascii="Times New Roman" w:hAnsi="Times New Roman" w:cs="Times New Roman"/>
          <w:b/>
          <w:sz w:val="24"/>
          <w:szCs w:val="24"/>
        </w:rPr>
        <w:t xml:space="preserve">выросли показатели посещений на массовых мероприятиях </w:t>
      </w:r>
      <w:r w:rsidR="004E050B">
        <w:rPr>
          <w:rFonts w:ascii="Times New Roman" w:hAnsi="Times New Roman" w:cs="Times New Roman"/>
          <w:b/>
          <w:sz w:val="24"/>
          <w:szCs w:val="24"/>
        </w:rPr>
        <w:t>(на 68,9%)  и выдачи документов</w:t>
      </w:r>
      <w:r w:rsidR="003A0723" w:rsidRPr="003A0723">
        <w:rPr>
          <w:rFonts w:ascii="Times New Roman" w:hAnsi="Times New Roman" w:cs="Times New Roman"/>
          <w:b/>
          <w:sz w:val="24"/>
          <w:szCs w:val="24"/>
        </w:rPr>
        <w:t xml:space="preserve"> (на 54,9%).</w:t>
      </w:r>
    </w:p>
    <w:tbl>
      <w:tblPr>
        <w:tblStyle w:val="7"/>
        <w:tblW w:w="0" w:type="auto"/>
        <w:jc w:val="center"/>
        <w:tblInd w:w="-2548" w:type="dxa"/>
        <w:tblLook w:val="04A0" w:firstRow="1" w:lastRow="0" w:firstColumn="1" w:lastColumn="0" w:noHBand="0" w:noVBand="1"/>
      </w:tblPr>
      <w:tblGrid>
        <w:gridCol w:w="4664"/>
        <w:gridCol w:w="1760"/>
        <w:gridCol w:w="1187"/>
        <w:gridCol w:w="2494"/>
      </w:tblGrid>
      <w:tr w:rsidR="00436CD1" w:rsidRPr="00B310B1" w:rsidTr="007239A0">
        <w:trPr>
          <w:trHeight w:val="512"/>
          <w:jc w:val="center"/>
        </w:trPr>
        <w:tc>
          <w:tcPr>
            <w:tcW w:w="4664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Наименование показателей</w:t>
            </w:r>
            <w:r w:rsidR="007239A0" w:rsidRPr="00B310B1">
              <w:rPr>
                <w:sz w:val="24"/>
                <w:szCs w:val="24"/>
              </w:rPr>
              <w:t xml:space="preserve"> </w:t>
            </w:r>
            <w:r w:rsidRPr="00B310B1">
              <w:rPr>
                <w:b/>
                <w:sz w:val="24"/>
                <w:szCs w:val="24"/>
              </w:rPr>
              <w:t>ДБФ №1</w:t>
            </w:r>
          </w:p>
        </w:tc>
        <w:tc>
          <w:tcPr>
            <w:tcW w:w="1632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2020 г. (до модернизации)</w:t>
            </w:r>
          </w:p>
        </w:tc>
        <w:tc>
          <w:tcPr>
            <w:tcW w:w="1187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2023 г.</w:t>
            </w:r>
          </w:p>
        </w:tc>
        <w:tc>
          <w:tcPr>
            <w:tcW w:w="2494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Общая динамика роста</w:t>
            </w:r>
          </w:p>
        </w:tc>
      </w:tr>
      <w:tr w:rsidR="00436CD1" w:rsidRPr="00B310B1" w:rsidTr="007239A0">
        <w:trPr>
          <w:trHeight w:val="273"/>
          <w:jc w:val="center"/>
        </w:trPr>
        <w:tc>
          <w:tcPr>
            <w:tcW w:w="4664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Читателей</w:t>
            </w:r>
          </w:p>
        </w:tc>
        <w:tc>
          <w:tcPr>
            <w:tcW w:w="1632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1557</w:t>
            </w:r>
          </w:p>
        </w:tc>
        <w:tc>
          <w:tcPr>
            <w:tcW w:w="1187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2810</w:t>
            </w:r>
          </w:p>
        </w:tc>
        <w:tc>
          <w:tcPr>
            <w:tcW w:w="2494" w:type="dxa"/>
          </w:tcPr>
          <w:p w:rsidR="00F62BAB" w:rsidRPr="00B310B1" w:rsidRDefault="00F62BAB" w:rsidP="00B85D12">
            <w:pPr>
              <w:jc w:val="center"/>
              <w:rPr>
                <w:b/>
                <w:sz w:val="24"/>
                <w:szCs w:val="24"/>
              </w:rPr>
            </w:pPr>
            <w:r w:rsidRPr="00B310B1">
              <w:rPr>
                <w:b/>
                <w:sz w:val="24"/>
                <w:szCs w:val="24"/>
              </w:rPr>
              <w:t>44,5%</w:t>
            </w:r>
          </w:p>
        </w:tc>
      </w:tr>
      <w:tr w:rsidR="00436CD1" w:rsidRPr="00B310B1" w:rsidTr="007239A0">
        <w:trPr>
          <w:trHeight w:val="278"/>
          <w:jc w:val="center"/>
        </w:trPr>
        <w:tc>
          <w:tcPr>
            <w:tcW w:w="4664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Посещений</w:t>
            </w:r>
          </w:p>
        </w:tc>
        <w:tc>
          <w:tcPr>
            <w:tcW w:w="1632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18182</w:t>
            </w:r>
          </w:p>
        </w:tc>
        <w:tc>
          <w:tcPr>
            <w:tcW w:w="1187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  <w:lang w:val="en-US"/>
              </w:rPr>
            </w:pPr>
            <w:r w:rsidRPr="00B310B1">
              <w:rPr>
                <w:sz w:val="24"/>
                <w:szCs w:val="24"/>
              </w:rPr>
              <w:t>338</w:t>
            </w:r>
            <w:r w:rsidRPr="00B310B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494" w:type="dxa"/>
          </w:tcPr>
          <w:p w:rsidR="00F62BAB" w:rsidRPr="00B310B1" w:rsidRDefault="00F62BAB" w:rsidP="00B85D12">
            <w:pPr>
              <w:jc w:val="center"/>
              <w:rPr>
                <w:b/>
                <w:sz w:val="24"/>
                <w:szCs w:val="24"/>
              </w:rPr>
            </w:pPr>
            <w:r w:rsidRPr="00B310B1">
              <w:rPr>
                <w:b/>
                <w:sz w:val="24"/>
                <w:szCs w:val="24"/>
              </w:rPr>
              <w:t>46,2 %</w:t>
            </w:r>
          </w:p>
        </w:tc>
      </w:tr>
      <w:tr w:rsidR="00436CD1" w:rsidRPr="00B310B1" w:rsidTr="007239A0">
        <w:trPr>
          <w:trHeight w:val="267"/>
          <w:jc w:val="center"/>
        </w:trPr>
        <w:tc>
          <w:tcPr>
            <w:tcW w:w="4664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Выдано документов</w:t>
            </w:r>
          </w:p>
        </w:tc>
        <w:tc>
          <w:tcPr>
            <w:tcW w:w="1632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28024</w:t>
            </w:r>
          </w:p>
        </w:tc>
        <w:tc>
          <w:tcPr>
            <w:tcW w:w="1187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  <w:lang w:val="en-US"/>
              </w:rPr>
            </w:pPr>
            <w:r w:rsidRPr="00B310B1">
              <w:rPr>
                <w:sz w:val="24"/>
                <w:szCs w:val="24"/>
                <w:lang w:val="en-US"/>
              </w:rPr>
              <w:t>62261</w:t>
            </w:r>
          </w:p>
        </w:tc>
        <w:tc>
          <w:tcPr>
            <w:tcW w:w="2494" w:type="dxa"/>
          </w:tcPr>
          <w:p w:rsidR="00F62BAB" w:rsidRPr="00B310B1" w:rsidRDefault="00F62BAB" w:rsidP="00B85D12">
            <w:pPr>
              <w:jc w:val="center"/>
              <w:rPr>
                <w:b/>
                <w:sz w:val="24"/>
                <w:szCs w:val="24"/>
              </w:rPr>
            </w:pPr>
            <w:r w:rsidRPr="00B310B1">
              <w:rPr>
                <w:b/>
                <w:sz w:val="24"/>
                <w:szCs w:val="24"/>
              </w:rPr>
              <w:t>54,9%</w:t>
            </w:r>
          </w:p>
        </w:tc>
      </w:tr>
      <w:tr w:rsidR="00436CD1" w:rsidRPr="00B310B1" w:rsidTr="007239A0">
        <w:trPr>
          <w:trHeight w:val="272"/>
          <w:jc w:val="center"/>
        </w:trPr>
        <w:tc>
          <w:tcPr>
            <w:tcW w:w="4664" w:type="dxa"/>
          </w:tcPr>
          <w:p w:rsidR="00F62BAB" w:rsidRPr="00B310B1" w:rsidRDefault="00F62BAB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 xml:space="preserve">Количество </w:t>
            </w:r>
            <w:r w:rsidR="007A6B4C" w:rsidRPr="00B310B1">
              <w:rPr>
                <w:sz w:val="24"/>
                <w:szCs w:val="24"/>
              </w:rPr>
              <w:t xml:space="preserve"> массовых </w:t>
            </w:r>
            <w:r w:rsidRPr="00B310B1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32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84</w:t>
            </w:r>
          </w:p>
        </w:tc>
        <w:tc>
          <w:tcPr>
            <w:tcW w:w="1187" w:type="dxa"/>
          </w:tcPr>
          <w:p w:rsidR="00F62BAB" w:rsidRPr="00B310B1" w:rsidRDefault="00F62BAB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230</w:t>
            </w:r>
          </w:p>
        </w:tc>
        <w:tc>
          <w:tcPr>
            <w:tcW w:w="2494" w:type="dxa"/>
          </w:tcPr>
          <w:p w:rsidR="00F62BAB" w:rsidRPr="00B310B1" w:rsidRDefault="00F62BAB" w:rsidP="00B85D12">
            <w:pPr>
              <w:jc w:val="center"/>
              <w:rPr>
                <w:b/>
                <w:sz w:val="24"/>
                <w:szCs w:val="24"/>
              </w:rPr>
            </w:pPr>
            <w:r w:rsidRPr="00B310B1">
              <w:rPr>
                <w:b/>
                <w:sz w:val="24"/>
                <w:szCs w:val="24"/>
              </w:rPr>
              <w:t>63,5%</w:t>
            </w:r>
          </w:p>
        </w:tc>
      </w:tr>
      <w:tr w:rsidR="00436CD1" w:rsidRPr="00B310B1" w:rsidTr="007239A0">
        <w:trPr>
          <w:trHeight w:val="272"/>
          <w:jc w:val="center"/>
        </w:trPr>
        <w:tc>
          <w:tcPr>
            <w:tcW w:w="4664" w:type="dxa"/>
          </w:tcPr>
          <w:p w:rsidR="001C2CE4" w:rsidRPr="00B310B1" w:rsidRDefault="007A6B4C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632" w:type="dxa"/>
          </w:tcPr>
          <w:p w:rsidR="001C2CE4" w:rsidRPr="00B310B1" w:rsidRDefault="007A6B4C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1405</w:t>
            </w:r>
          </w:p>
        </w:tc>
        <w:tc>
          <w:tcPr>
            <w:tcW w:w="1187" w:type="dxa"/>
          </w:tcPr>
          <w:p w:rsidR="001C2CE4" w:rsidRPr="00B310B1" w:rsidRDefault="007A6B4C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4505</w:t>
            </w:r>
          </w:p>
        </w:tc>
        <w:tc>
          <w:tcPr>
            <w:tcW w:w="2494" w:type="dxa"/>
          </w:tcPr>
          <w:p w:rsidR="001C2CE4" w:rsidRPr="00B310B1" w:rsidRDefault="007A6B4C" w:rsidP="00B85D12">
            <w:pPr>
              <w:jc w:val="center"/>
              <w:rPr>
                <w:b/>
                <w:sz w:val="24"/>
                <w:szCs w:val="24"/>
              </w:rPr>
            </w:pPr>
            <w:r w:rsidRPr="00B310B1">
              <w:rPr>
                <w:b/>
                <w:sz w:val="24"/>
                <w:szCs w:val="24"/>
              </w:rPr>
              <w:t>68,8%</w:t>
            </w:r>
          </w:p>
        </w:tc>
      </w:tr>
      <w:tr w:rsidR="00436CD1" w:rsidRPr="00B310B1" w:rsidTr="007239A0">
        <w:trPr>
          <w:trHeight w:val="272"/>
          <w:jc w:val="center"/>
        </w:trPr>
        <w:tc>
          <w:tcPr>
            <w:tcW w:w="4664" w:type="dxa"/>
          </w:tcPr>
          <w:p w:rsidR="007A6B4C" w:rsidRPr="00B310B1" w:rsidRDefault="007A6B4C" w:rsidP="00B85D12">
            <w:pPr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Справки</w:t>
            </w:r>
          </w:p>
        </w:tc>
        <w:tc>
          <w:tcPr>
            <w:tcW w:w="1632" w:type="dxa"/>
          </w:tcPr>
          <w:p w:rsidR="007A6B4C" w:rsidRPr="00B310B1" w:rsidRDefault="007A6B4C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301</w:t>
            </w:r>
          </w:p>
        </w:tc>
        <w:tc>
          <w:tcPr>
            <w:tcW w:w="1187" w:type="dxa"/>
          </w:tcPr>
          <w:p w:rsidR="007A6B4C" w:rsidRPr="00B310B1" w:rsidRDefault="007A6B4C" w:rsidP="00B85D12">
            <w:pPr>
              <w:jc w:val="center"/>
              <w:rPr>
                <w:sz w:val="24"/>
                <w:szCs w:val="24"/>
              </w:rPr>
            </w:pPr>
            <w:r w:rsidRPr="00B310B1">
              <w:rPr>
                <w:sz w:val="24"/>
                <w:szCs w:val="24"/>
              </w:rPr>
              <w:t>460</w:t>
            </w:r>
          </w:p>
        </w:tc>
        <w:tc>
          <w:tcPr>
            <w:tcW w:w="2494" w:type="dxa"/>
          </w:tcPr>
          <w:p w:rsidR="007A6B4C" w:rsidRPr="00B310B1" w:rsidRDefault="007A6B4C" w:rsidP="00B85D12">
            <w:pPr>
              <w:jc w:val="center"/>
              <w:rPr>
                <w:b/>
                <w:sz w:val="24"/>
                <w:szCs w:val="24"/>
              </w:rPr>
            </w:pPr>
            <w:r w:rsidRPr="00B310B1">
              <w:rPr>
                <w:b/>
                <w:sz w:val="24"/>
                <w:szCs w:val="24"/>
              </w:rPr>
              <w:t>34,5%</w:t>
            </w:r>
          </w:p>
        </w:tc>
      </w:tr>
    </w:tbl>
    <w:p w:rsidR="007A6B4C" w:rsidRPr="00436CD1" w:rsidRDefault="007A6B4C" w:rsidP="00B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64" w:rsidRPr="00436CD1" w:rsidRDefault="007A6B4C" w:rsidP="000B5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В первой  модельной библиотеке появились новые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34FC1"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ервисные услуги</w:t>
      </w:r>
      <w:r w:rsidR="00267498"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7498" w:rsidRPr="00436CD1">
        <w:t xml:space="preserve"> 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повышение уровня комфортности обслуживания пользователей</w:t>
      </w:r>
      <w:r w:rsidR="00334FC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ксерокопирование и сканирование документов,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межбиблиотечный абонемент,  </w:t>
      </w:r>
      <w:r w:rsidR="00334FC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новых поступлениях по телефону,</w:t>
      </w:r>
      <w:r w:rsidR="001C2CE4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CE4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доступ </w:t>
      </w:r>
      <w:r w:rsidR="00334FC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фонду, реклама библиотеки и библиотечных услуг</w:t>
      </w:r>
      <w:r w:rsidR="001C2CE4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плазменных панелях и сенсорном киоске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стенах библиотеки</w:t>
      </w:r>
      <w:r w:rsidR="001C2CE4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9A0" w:rsidRPr="00436CD1">
        <w:t xml:space="preserve"> 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проводимых в библиотеке мероприятиях</w:t>
      </w:r>
      <w:r w:rsidR="002F573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на сайте ЦГДБ имени 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2F573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(афиша) и на странице Детской библиотеки имени Н. Островского в соц</w:t>
      </w:r>
      <w:r w:rsidR="002F573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«ВК»</w:t>
      </w:r>
      <w:r w:rsidR="00B85D12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429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Модельная библиотека предоставляет</w:t>
      </w:r>
      <w:r w:rsidR="00E7429F" w:rsidRPr="0043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7429F"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консалтинговые, образовательные услуги:</w:t>
      </w:r>
      <w:r w:rsidR="00E7429F" w:rsidRPr="00436CD1">
        <w:rPr>
          <w:shd w:val="clear" w:color="auto" w:fill="FFFFFF"/>
        </w:rPr>
        <w:t xml:space="preserve"> </w:t>
      </w:r>
      <w:r w:rsidR="00E7429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  предоставляется  доступ к лицензионным подписным информационным ресурсам («</w:t>
      </w:r>
      <w:proofErr w:type="spellStart"/>
      <w:r w:rsidR="00E7429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="00E7429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оцифрованным изданиям МБУК ЦБС г. Таганрога. Запросы пользователей выполняются с помощью электронного каталога (АБИС OPAC-GLOBAL). В библиотеке есть точки доступа к национальным информационным ре</w:t>
      </w:r>
      <w:r w:rsidR="0099302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сурсам НЭБ и НЭДБ</w:t>
      </w:r>
      <w:r w:rsidR="00E7429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D12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Кардинально выросло качество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библиотечно-библиографических услуг,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конечным результатом, которых является выдача документов во временное пользование (рост книговыдачи на 54,9%).</w:t>
      </w:r>
      <w:r w:rsidRPr="00436CD1">
        <w:rPr>
          <w:rFonts w:ascii="Times New Roman" w:hAnsi="Times New Roman" w:cs="Times New Roman"/>
          <w:sz w:val="24"/>
          <w:szCs w:val="24"/>
        </w:rPr>
        <w:t xml:space="preserve"> Объем различных справок по запросам пользователей вырос на 34,5%. 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услуги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библиотеки, направленны  на реализацию общения</w:t>
      </w:r>
      <w:r w:rsidR="00B85D12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читателей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программно-проектная деятельность, организация </w:t>
      </w:r>
      <w:r w:rsidR="0099302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 и встреч с литераторами, о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 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библиотечном кинозале 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просмотров</w:t>
      </w:r>
      <w:r w:rsidR="007239A0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включая семейные и детские кинопоказы.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года</w:t>
      </w:r>
      <w:r w:rsidR="0099302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</w:t>
      </w:r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воскресенье  работает студия творчества «</w:t>
      </w:r>
      <w:proofErr w:type="gramStart"/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делки</w:t>
      </w:r>
      <w:proofErr w:type="spellEnd"/>
      <w:proofErr w:type="gramEnd"/>
      <w:r w:rsidR="00267498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2024 году она трансформировалась  в более масштабную площадку досуга – творческую мастерскую «Город мастеров»</w:t>
      </w:r>
      <w:r w:rsidR="0099302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64" w:rsidRPr="00436CD1" w:rsidRDefault="002F5730" w:rsidP="000B5264">
      <w:pPr>
        <w:pStyle w:val="western"/>
        <w:spacing w:before="0" w:beforeAutospacing="0" w:after="0" w:afterAutospacing="0"/>
        <w:ind w:firstLine="708"/>
        <w:jc w:val="both"/>
      </w:pPr>
      <w:r w:rsidRPr="00436CD1">
        <w:t>3.</w:t>
      </w:r>
      <w:r w:rsidR="00906D06" w:rsidRPr="00436CD1">
        <w:t xml:space="preserve"> </w:t>
      </w:r>
      <w:r w:rsidRPr="00436CD1">
        <w:t xml:space="preserve"> Детская библиотека традицио</w:t>
      </w:r>
      <w:r w:rsidR="00341920" w:rsidRPr="00436CD1">
        <w:t>нно творчески взаимодействует с образовательными школьными  и дошкольными учреждениями микрорайона.</w:t>
      </w:r>
      <w:r w:rsidR="00906D06" w:rsidRPr="00436CD1">
        <w:t xml:space="preserve"> </w:t>
      </w:r>
      <w:r w:rsidR="00341920" w:rsidRPr="00436CD1">
        <w:t xml:space="preserve"> </w:t>
      </w:r>
      <w:r w:rsidR="00343A2A" w:rsidRPr="00436CD1">
        <w:t>В настоящее время библиотекой заключены договоры с МОБУ СОШ №31, №6, №22,  МБДОУ д/с №71, д/с №83, д/с №97, МБДОУ д/с №32, МО</w:t>
      </w:r>
      <w:r w:rsidR="00993021" w:rsidRPr="00436CD1">
        <w:t xml:space="preserve">У </w:t>
      </w:r>
      <w:proofErr w:type="gramStart"/>
      <w:r w:rsidR="00993021" w:rsidRPr="00436CD1">
        <w:t>ДО</w:t>
      </w:r>
      <w:proofErr w:type="gramEnd"/>
      <w:r w:rsidR="00993021" w:rsidRPr="00436CD1">
        <w:t xml:space="preserve"> "</w:t>
      </w:r>
      <w:proofErr w:type="gramStart"/>
      <w:r w:rsidR="00993021" w:rsidRPr="00436CD1">
        <w:t>Станция</w:t>
      </w:r>
      <w:proofErr w:type="gramEnd"/>
      <w:r w:rsidR="00993021" w:rsidRPr="00436CD1">
        <w:t xml:space="preserve"> юных техников №2".</w:t>
      </w:r>
      <w:r w:rsidR="00343A2A" w:rsidRPr="00436CD1">
        <w:t xml:space="preserve"> </w:t>
      </w:r>
      <w:r w:rsidR="00341920" w:rsidRPr="00436CD1">
        <w:t xml:space="preserve">Содержание деятельности в статусе модельной библиотеке позволило </w:t>
      </w:r>
      <w:r w:rsidR="00341920" w:rsidRPr="003A0723">
        <w:rPr>
          <w:b/>
        </w:rPr>
        <w:lastRenderedPageBreak/>
        <w:t xml:space="preserve">расширить круг социальных партнеров: </w:t>
      </w:r>
      <w:r w:rsidR="00341920" w:rsidRPr="00436CD1">
        <w:t xml:space="preserve">ТГЛИАМЗ (Таганрогский государственный литературный и историко-архитектурный музей–заповедник), ЦТТ </w:t>
      </w:r>
      <w:r w:rsidR="00906D06" w:rsidRPr="00436CD1">
        <w:t xml:space="preserve">(Центр технического творчества), Кафедра педагогики дошкольного, начального и дополнительного образования, Кафедра психолого-педагогического образования и </w:t>
      </w:r>
      <w:proofErr w:type="spellStart"/>
      <w:r w:rsidR="00906D06" w:rsidRPr="00436CD1">
        <w:t>медиакоммуникации</w:t>
      </w:r>
      <w:proofErr w:type="spellEnd"/>
      <w:r w:rsidR="00906D06" w:rsidRPr="00436CD1">
        <w:t xml:space="preserve"> Таганрогского института имени А.П. Чех</w:t>
      </w:r>
      <w:r w:rsidR="00343A2A" w:rsidRPr="00436CD1">
        <w:t>ова (филиала) ФГБОУ «РГЭ</w:t>
      </w:r>
      <w:proofErr w:type="gramStart"/>
      <w:r w:rsidR="00343A2A" w:rsidRPr="00436CD1">
        <w:t>У(</w:t>
      </w:r>
      <w:proofErr w:type="gramEnd"/>
      <w:r w:rsidR="00343A2A" w:rsidRPr="00436CD1">
        <w:t>РИНХ),  Таганрогская городская общественная организация "Поисковый отряд "</w:t>
      </w:r>
      <w:proofErr w:type="spellStart"/>
      <w:r w:rsidR="00343A2A" w:rsidRPr="00436CD1">
        <w:t>Миусская</w:t>
      </w:r>
      <w:proofErr w:type="spellEnd"/>
      <w:r w:rsidR="00343A2A" w:rsidRPr="00436CD1">
        <w:t xml:space="preserve"> высота". </w:t>
      </w:r>
    </w:p>
    <w:p w:rsidR="006B5257" w:rsidRPr="00436CD1" w:rsidRDefault="006B5257" w:rsidP="00B8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36CD1">
        <w:t xml:space="preserve">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Читательские группы библиотеки  традиционно составляют в большинстве своем дети дошкольного, младшего школьного и среднего возраста,</w:t>
      </w:r>
      <w:r w:rsidR="0099302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детского чтения. Создание в  модельной библиотеке интеллектуального и комфортного пространства, выделенная для молодых родителей  с маленькими детьми специальная зона «Расту с книгой» и соответствующим книжным фондом, играми позволили привлечь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группы читателей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молодых родителей с малышами и многодетные семьи, которые предпочитают теперь проводить в библиотеке свой семейный досуг по выходным дням. </w:t>
      </w:r>
    </w:p>
    <w:p w:rsidR="000B5264" w:rsidRPr="00436CD1" w:rsidRDefault="00F078D8" w:rsidP="000B5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модельной по основным направлениям библиотечной деятельности строилась  на программно-проектной основе. В 2023 году шла реализация 4 проектов и 1 програм</w:t>
      </w:r>
      <w:r w:rsidR="00B85D12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мы.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библиотечный проект «</w:t>
      </w:r>
      <w:proofErr w:type="spellStart"/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Small</w:t>
      </w:r>
      <w:proofErr w:type="gramStart"/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</w:t>
      </w:r>
      <w:proofErr w:type="spellEnd"/>
      <w:proofErr w:type="gramEnd"/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креативных индустрий в рамках проекта по организации точек концентрации талантов «Гений места» на базе модельных библиотек реализован полностью. Он стал </w:t>
      </w:r>
      <w:r w:rsidR="003A0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 опытом для всех участников проекта. Данный проект позволил школьникам не только познакомиться с профессией экскурсовода, но и погрузиться в нее: они овладели навыками ораторского искусства, актерского мастерства, узнали, зачем экскурсоводу культура речи, научились писать текст собственной экскурсии. </w:t>
      </w:r>
    </w:p>
    <w:p w:rsidR="000B5264" w:rsidRPr="00436CD1" w:rsidRDefault="00993021" w:rsidP="000B5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D1">
        <w:t xml:space="preserve">6.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Идентификации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библиотеки имени Н. Островского – филиал №1 среди других библиотек города Таганрога способствует: имя писателя Н. Островского и специально 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выделенная мемориальная зона,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зонирование, новый интерьер и дизайн, 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стилизованные оригинальные указатели,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 компьютерный парк, наличие современного технического оборудования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(сенсорная информационная стойка, интерактивный комплекс </w:t>
      </w:r>
      <w:proofErr w:type="spellStart"/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TeachTouch</w:t>
      </w:r>
      <w:proofErr w:type="spellEnd"/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интерактивный стол, интерактивный глобус)</w:t>
      </w:r>
      <w:r w:rsidR="000B5264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64" w:rsidRPr="00436CD1" w:rsidRDefault="00993021" w:rsidP="000B5264">
      <w:pPr>
        <w:spacing w:after="0" w:line="240" w:lineRule="auto"/>
        <w:ind w:firstLine="708"/>
        <w:jc w:val="both"/>
        <w:rPr>
          <w:u w:val="single"/>
        </w:rPr>
      </w:pPr>
      <w:r w:rsidRPr="00436CD1">
        <w:rPr>
          <w:b/>
        </w:rPr>
        <w:t xml:space="preserve">7 .   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библиотеки 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новым,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богатым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многом уникальным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книжным фондом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отличительная черта 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модельной библиотеки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2021 году диплом Всероссийского конкурса «Золотая полка»)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5F3763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при 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комплектовании фонда был отдан приобретению новых книг художественной литературы (72%) и других отраслей знаний</w:t>
      </w:r>
      <w:r w:rsidR="00C80C2F" w:rsidRPr="00436CD1">
        <w:rPr>
          <w:rFonts w:ascii="Times New Roman" w:hAnsi="Times New Roman"/>
          <w:sz w:val="28"/>
          <w:szCs w:val="28"/>
        </w:rPr>
        <w:t xml:space="preserve"> </w:t>
      </w:r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(28%), а также книгам новых форматов.</w:t>
      </w:r>
      <w:proofErr w:type="gramEnd"/>
      <w:r w:rsidR="00C80C2F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дало возможность  </w:t>
      </w:r>
      <w:r w:rsidR="00C80C2F"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увеличить читаемость</w:t>
      </w:r>
      <w:r w:rsidRPr="003A0723">
        <w:rPr>
          <w:b/>
        </w:rPr>
        <w:t xml:space="preserve"> </w:t>
      </w:r>
      <w:r w:rsidR="005F3763"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17,9 в 2020 году до 22,1 в 2023 г.</w:t>
      </w:r>
    </w:p>
    <w:p w:rsidR="000B5264" w:rsidRPr="00436CD1" w:rsidRDefault="003B43DC" w:rsidP="000B5264">
      <w:pPr>
        <w:spacing w:after="0" w:line="240" w:lineRule="auto"/>
        <w:ind w:firstLine="708"/>
        <w:jc w:val="both"/>
        <w:rPr>
          <w:u w:val="single"/>
        </w:rPr>
      </w:pPr>
      <w:r w:rsidRPr="00436CD1">
        <w:rPr>
          <w:b/>
        </w:rPr>
        <w:t xml:space="preserve">8.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привлекательного образа библиотеки - комфортных условий, открытого пространства, функционально-технологические возможности нового оборудования и его удобство – </w:t>
      </w:r>
      <w:r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 базой для эффективного обслуживания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 Благодаря проведенным преобразованиям любой посетитель библиотеки может найти для себя полезное занятие, получить  информацию, обсудить интересную книгу, стать участником событийного мероприятия, включиться в волонтерскую деятельность или  принять участие в творческом проекте.</w:t>
      </w:r>
      <w:r w:rsidRPr="00436C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Модельная библиотека стала для детей и их родителей не только  культурно-просветительским центром, но  и комфортным местом для проведения досуга.</w:t>
      </w:r>
    </w:p>
    <w:p w:rsidR="004B2AE1" w:rsidRPr="00436CD1" w:rsidRDefault="000B5264" w:rsidP="000B52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B2AE1" w:rsidRPr="003A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читателей с ОВЗ</w:t>
      </w:r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оформлена </w:t>
      </w:r>
      <w:r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стационарная книжная </w:t>
      </w:r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«Яблочная полка», которая постоянно обновляется. На полке находятся книги с крупным шрифтом, яркими иллюстрациями, пиктограммами, книжки-</w:t>
      </w:r>
      <w:proofErr w:type="spellStart"/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книги-игрушки, книги различных фигурных форм, книги-панорамы, аудиокниги. Имеется пандус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посетителей на </w:t>
      </w:r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</w:t>
      </w:r>
      <w:r w:rsidR="004E0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4B2AE1" w:rsidRPr="0043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D1" w:rsidRPr="00436CD1" w:rsidRDefault="00436CD1" w:rsidP="00436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36CD1">
        <w:rPr>
          <w:rFonts w:ascii="Times New Roman" w:eastAsia="Times New Roman" w:hAnsi="Times New Roman" w:cs="Times New Roman"/>
          <w:lang w:eastAsia="ru-RU"/>
        </w:rPr>
        <w:t xml:space="preserve">Составитель: Е.И. Кирсанова, </w:t>
      </w:r>
    </w:p>
    <w:p w:rsidR="00436CD1" w:rsidRPr="00436CD1" w:rsidRDefault="00436CD1" w:rsidP="00436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36CD1">
        <w:rPr>
          <w:rFonts w:ascii="Times New Roman" w:eastAsia="Times New Roman" w:hAnsi="Times New Roman" w:cs="Times New Roman"/>
          <w:lang w:eastAsia="ru-RU"/>
        </w:rPr>
        <w:t>Зам. директора по работе детьми МБУК ЦБС г. Таганрога</w:t>
      </w:r>
    </w:p>
    <w:sectPr w:rsidR="00436CD1" w:rsidRPr="0043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4E8"/>
    <w:multiLevelType w:val="multilevel"/>
    <w:tmpl w:val="E0D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B"/>
    <w:rsid w:val="000A527A"/>
    <w:rsid w:val="000B3988"/>
    <w:rsid w:val="000B5264"/>
    <w:rsid w:val="000F7595"/>
    <w:rsid w:val="00131598"/>
    <w:rsid w:val="001C2CE4"/>
    <w:rsid w:val="002063DB"/>
    <w:rsid w:val="00267498"/>
    <w:rsid w:val="002F5730"/>
    <w:rsid w:val="00327FAF"/>
    <w:rsid w:val="00334FC1"/>
    <w:rsid w:val="00341920"/>
    <w:rsid w:val="00343A2A"/>
    <w:rsid w:val="003A0723"/>
    <w:rsid w:val="003B43DC"/>
    <w:rsid w:val="00436CD1"/>
    <w:rsid w:val="004A664D"/>
    <w:rsid w:val="004B2AE1"/>
    <w:rsid w:val="004E050B"/>
    <w:rsid w:val="005F3763"/>
    <w:rsid w:val="006B5257"/>
    <w:rsid w:val="007239A0"/>
    <w:rsid w:val="007A6B4C"/>
    <w:rsid w:val="008232CB"/>
    <w:rsid w:val="00874CB2"/>
    <w:rsid w:val="00906D06"/>
    <w:rsid w:val="009333D2"/>
    <w:rsid w:val="00993021"/>
    <w:rsid w:val="00A24279"/>
    <w:rsid w:val="00A8754A"/>
    <w:rsid w:val="00B250F3"/>
    <w:rsid w:val="00B310B1"/>
    <w:rsid w:val="00B85D12"/>
    <w:rsid w:val="00C80C2F"/>
    <w:rsid w:val="00D90E56"/>
    <w:rsid w:val="00E3097B"/>
    <w:rsid w:val="00E66F9B"/>
    <w:rsid w:val="00E7429F"/>
    <w:rsid w:val="00F078D8"/>
    <w:rsid w:val="00F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32CB"/>
    <w:rPr>
      <w:color w:val="0000FF"/>
      <w:u w:val="single"/>
    </w:rPr>
  </w:style>
  <w:style w:type="paragraph" w:styleId="a4">
    <w:name w:val="header"/>
    <w:basedOn w:val="a"/>
    <w:link w:val="a5"/>
    <w:rsid w:val="00823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3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6"/>
    <w:uiPriority w:val="59"/>
    <w:rsid w:val="0082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2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8754A"/>
    <w:rPr>
      <w:i/>
      <w:iCs/>
    </w:rPr>
  </w:style>
  <w:style w:type="paragraph" w:styleId="a8">
    <w:name w:val="List Paragraph"/>
    <w:basedOn w:val="a"/>
    <w:uiPriority w:val="34"/>
    <w:qFormat/>
    <w:rsid w:val="007A6B4C"/>
    <w:pPr>
      <w:ind w:left="720"/>
      <w:contextualSpacing/>
    </w:pPr>
  </w:style>
  <w:style w:type="paragraph" w:customStyle="1" w:styleId="western">
    <w:name w:val="western"/>
    <w:basedOn w:val="a"/>
    <w:rsid w:val="0090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32CB"/>
    <w:rPr>
      <w:color w:val="0000FF"/>
      <w:u w:val="single"/>
    </w:rPr>
  </w:style>
  <w:style w:type="paragraph" w:styleId="a4">
    <w:name w:val="header"/>
    <w:basedOn w:val="a"/>
    <w:link w:val="a5"/>
    <w:rsid w:val="00823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3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6"/>
    <w:uiPriority w:val="59"/>
    <w:rsid w:val="0082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2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8754A"/>
    <w:rPr>
      <w:i/>
      <w:iCs/>
    </w:rPr>
  </w:style>
  <w:style w:type="paragraph" w:styleId="a8">
    <w:name w:val="List Paragraph"/>
    <w:basedOn w:val="a"/>
    <w:uiPriority w:val="34"/>
    <w:qFormat/>
    <w:rsid w:val="007A6B4C"/>
    <w:pPr>
      <w:ind w:left="720"/>
      <w:contextualSpacing/>
    </w:pPr>
  </w:style>
  <w:style w:type="paragraph" w:customStyle="1" w:styleId="western">
    <w:name w:val="western"/>
    <w:basedOn w:val="a"/>
    <w:rsid w:val="0090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7</cp:revision>
  <dcterms:created xsi:type="dcterms:W3CDTF">2024-01-12T06:49:00Z</dcterms:created>
  <dcterms:modified xsi:type="dcterms:W3CDTF">2024-01-12T07:26:00Z</dcterms:modified>
</cp:coreProperties>
</file>